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3" w:rsidRDefault="00902B91">
      <w:pPr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Grade One Supply List                                  </w:t>
      </w:r>
      <w:r>
        <w:rPr>
          <w:noProof/>
          <w:lang w:val="en-CA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3495675</wp:posOffset>
            </wp:positionH>
            <wp:positionV relativeFrom="paragraph">
              <wp:posOffset>114300</wp:posOffset>
            </wp:positionV>
            <wp:extent cx="1924050" cy="747713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523" w:rsidRDefault="00902B91">
      <w:r>
        <w:rPr>
          <w:rFonts w:ascii="Calibri" w:eastAsia="Calibri" w:hAnsi="Calibri" w:cs="Calibri"/>
          <w:b/>
          <w:sz w:val="32"/>
          <w:szCs w:val="32"/>
        </w:rPr>
        <w:t xml:space="preserve">September 2023  </w:t>
      </w:r>
    </w:p>
    <w:p w:rsidR="00DC4523" w:rsidRDefault="00DC4523"/>
    <w:p w:rsidR="00DC4523" w:rsidRDefault="00DC4523"/>
    <w:p w:rsidR="00DC4523" w:rsidRDefault="00DC452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665"/>
      </w:tblGrid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 xml:space="preserve">Amount 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Item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rPr>
                <w:b/>
              </w:rPr>
            </w:pPr>
            <w:r>
              <w:t xml:space="preserve">HB Pencils </w:t>
            </w:r>
            <w:r>
              <w:rPr>
                <w:b/>
              </w:rPr>
              <w:t>(pre-sharpened)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 xml:space="preserve">Pencil box     </w:t>
            </w:r>
            <w:r>
              <w:rPr>
                <w:noProof/>
                <w:lang w:val="en-CA"/>
              </w:rPr>
              <w:drawing>
                <wp:inline distT="114300" distB="114300" distL="114300" distR="114300">
                  <wp:extent cx="797134" cy="79713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134" cy="797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Pencil sharpener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Expo Whiteboard markers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Cloth, piece of felt, or a sock to clean whiteboard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Boxes of Crayola crayons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Glue Sticks (white)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Pair of child scissors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 xml:space="preserve">Two pocket folders (yellow, blue, orange)     </w:t>
            </w:r>
            <w:r>
              <w:rPr>
                <w:noProof/>
                <w:lang w:val="en-CA"/>
              </w:rPr>
              <w:drawing>
                <wp:anchor distT="57150" distB="57150" distL="57150" distR="57150" simplePos="0" relativeHeight="251659264" behindDoc="0" locked="0" layoutInCell="1" hidden="0" allowOverlap="1">
                  <wp:simplePos x="0" y="0"/>
                  <wp:positionH relativeFrom="column">
                    <wp:posOffset>2780724</wp:posOffset>
                  </wp:positionH>
                  <wp:positionV relativeFrom="paragraph">
                    <wp:posOffset>57150</wp:posOffset>
                  </wp:positionV>
                  <wp:extent cx="1062038" cy="704850"/>
                  <wp:effectExtent l="0" t="0" r="0" b="0"/>
                  <wp:wrapSquare wrapText="bothSides" distT="57150" distB="57150" distL="57150" distR="5715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proofErr w:type="spellStart"/>
            <w:r>
              <w:t>Duotangs</w:t>
            </w:r>
            <w:proofErr w:type="spellEnd"/>
            <w:r>
              <w:t xml:space="preserve"> (yellow, red, blue, orange)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White erasers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proofErr w:type="spellStart"/>
            <w:r>
              <w:t>Hilroy</w:t>
            </w:r>
            <w:proofErr w:type="spellEnd"/>
            <w:r>
              <w:t xml:space="preserve"> 72 pages Exercise Book (yellow cover) ½ plain on top and ½ lined on bottom of pages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605397" cy="704850"/>
                  <wp:effectExtent l="26305" t="22318" r="26305" b="22318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265677">
                            <a:off x="0" y="0"/>
                            <a:ext cx="605397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Boxes of Crayola markers (thin tipped)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Messenger Bag (can be found at the Dollar Store with a zipper)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</w:pPr>
            <w:r>
              <w:t>Bottle of white glue</w:t>
            </w:r>
          </w:p>
        </w:tc>
      </w:tr>
      <w:tr w:rsidR="00DC4523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523" w:rsidRDefault="00902B91">
            <w:pPr>
              <w:widowControl w:val="0"/>
              <w:spacing w:line="240" w:lineRule="auto"/>
              <w:rPr>
                <w:b/>
              </w:rPr>
            </w:pPr>
            <w:r>
              <w:t xml:space="preserve">Pair of indoor shoes to be left at school. </w:t>
            </w:r>
            <w:r>
              <w:rPr>
                <w:b/>
              </w:rPr>
              <w:t>Velcro if your child can not tie their own shoes.</w:t>
            </w:r>
          </w:p>
        </w:tc>
      </w:tr>
    </w:tbl>
    <w:p w:rsidR="00DC4523" w:rsidRDefault="00DC4523"/>
    <w:p w:rsidR="00DC4523" w:rsidRDefault="00DC4523">
      <w:pPr>
        <w:rPr>
          <w:b/>
          <w:sz w:val="24"/>
          <w:szCs w:val="24"/>
          <w:u w:val="single"/>
        </w:rPr>
      </w:pPr>
    </w:p>
    <w:p w:rsidR="00DC4523" w:rsidRDefault="00902B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Optional supplies</w:t>
      </w:r>
    </w:p>
    <w:p w:rsidR="00DC4523" w:rsidRDefault="00902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-2 boxes of Kleenex, large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bags, headphones to wear when using technology</w:t>
      </w:r>
    </w:p>
    <w:p w:rsidR="00DC4523" w:rsidRDefault="00902B91">
      <w:p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Please label all of your child's supplies and clothing. </w:t>
      </w:r>
    </w:p>
    <w:p w:rsidR="00DC4523" w:rsidRDefault="00902B9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>The first day of school is very busy! We need your help in keeping us organized. ***</w:t>
      </w:r>
    </w:p>
    <w:p w:rsidR="00DC4523" w:rsidRDefault="00902B91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Please help by taking all items out of their plastic packaging and label with your child’s name or initials.</w:t>
      </w:r>
    </w:p>
    <w:p w:rsidR="00DC4523" w:rsidRDefault="00902B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4523" w:rsidRDefault="00902B91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</w:r>
      <w:r>
        <w:rPr>
          <w:sz w:val="24"/>
          <w:szCs w:val="24"/>
        </w:rPr>
        <w:t>Please fill your child’s pencil box with the following items and send it the first day of school...</w:t>
      </w:r>
    </w:p>
    <w:p w:rsidR="00DC4523" w:rsidRDefault="00902B91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1 Eraser (cut in half)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1 Box of crayons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8 Sharpened pencils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1 Pack markers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2 White board markers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1 White board eraser (a cloth, piece</w:t>
      </w:r>
      <w:r>
        <w:rPr>
          <w:sz w:val="24"/>
          <w:szCs w:val="24"/>
        </w:rPr>
        <w:t xml:space="preserve"> of felt, or clean sock is fine)</w:t>
      </w:r>
    </w:p>
    <w:p w:rsidR="00DC4523" w:rsidRDefault="00902B91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Pencil sharpener</w:t>
      </w:r>
    </w:p>
    <w:p w:rsidR="00DC4523" w:rsidRDefault="00902B9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 Please place the rest of the items in a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and send them along with the pencil box on the first day of school. Please put your child's name on the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and on all of the other individua</w:t>
      </w:r>
      <w:r>
        <w:rPr>
          <w:sz w:val="24"/>
          <w:szCs w:val="24"/>
        </w:rPr>
        <w:t xml:space="preserve">l supplies. </w:t>
      </w:r>
    </w:p>
    <w:p w:rsidR="00DC4523" w:rsidRDefault="00DC4523">
      <w:pPr>
        <w:rPr>
          <w:sz w:val="24"/>
          <w:szCs w:val="24"/>
        </w:rPr>
      </w:pPr>
    </w:p>
    <w:p w:rsidR="00DC4523" w:rsidRDefault="00DC4523">
      <w:pPr>
        <w:rPr>
          <w:sz w:val="24"/>
          <w:szCs w:val="24"/>
        </w:rPr>
      </w:pPr>
    </w:p>
    <w:sectPr w:rsidR="00DC452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23"/>
    <w:rsid w:val="00902B91"/>
    <w:rsid w:val="00D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37B67-57D7-4F6B-943D-48D4734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Boudreau</dc:creator>
  <cp:lastModifiedBy>user</cp:lastModifiedBy>
  <cp:revision>2</cp:revision>
  <dcterms:created xsi:type="dcterms:W3CDTF">2023-06-21T11:53:00Z</dcterms:created>
  <dcterms:modified xsi:type="dcterms:W3CDTF">2023-06-21T11:53:00Z</dcterms:modified>
</cp:coreProperties>
</file>